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9B0C9" w14:textId="1F304221" w:rsidR="00E96A36" w:rsidRPr="008C27E2" w:rsidRDefault="008C27E2">
      <w:pPr>
        <w:rPr>
          <w:rFonts w:ascii="Arial" w:hAnsi="Arial" w:cs="Arial"/>
          <w:b/>
        </w:rPr>
      </w:pPr>
      <w:r w:rsidRPr="008C27E2">
        <w:rPr>
          <w:rFonts w:ascii="Arial" w:hAnsi="Arial" w:cs="Arial"/>
          <w:b/>
        </w:rPr>
        <w:t>BENCHMARK</w:t>
      </w:r>
      <w:r w:rsidR="00E96A36" w:rsidRPr="008C27E2">
        <w:rPr>
          <w:rFonts w:ascii="Arial" w:hAnsi="Arial" w:cs="Arial"/>
          <w:b/>
        </w:rPr>
        <w:t xml:space="preserve">ING FOR </w:t>
      </w:r>
      <w:r w:rsidR="00026485" w:rsidRPr="00C6586D">
        <w:rPr>
          <w:rFonts w:ascii="Arial" w:hAnsi="Arial" w:cs="Arial"/>
          <w:b/>
        </w:rPr>
        <w:t>2014/15</w:t>
      </w:r>
    </w:p>
    <w:p w14:paraId="04100E2D" w14:textId="1965B56C" w:rsidR="00E96A36" w:rsidRPr="008C27E2" w:rsidRDefault="00E96A36" w:rsidP="00E96A36">
      <w:pPr>
        <w:rPr>
          <w:rFonts w:ascii="Arial" w:hAnsi="Arial" w:cs="Arial"/>
          <w:b/>
        </w:rPr>
      </w:pPr>
      <w:r w:rsidRPr="008C27E2">
        <w:rPr>
          <w:rFonts w:ascii="Arial" w:hAnsi="Arial" w:cs="Arial"/>
          <w:b/>
        </w:rPr>
        <w:t xml:space="preserve"> Equality Statistics (</w:t>
      </w:r>
      <w:r w:rsidRPr="00F17161">
        <w:rPr>
          <w:rFonts w:ascii="Arial" w:hAnsi="Arial" w:cs="Arial"/>
          <w:b/>
        </w:rPr>
        <w:t xml:space="preserve">2011 </w:t>
      </w:r>
      <w:r w:rsidR="00BD5F8B" w:rsidRPr="00F17161">
        <w:rPr>
          <w:rFonts w:ascii="Arial" w:hAnsi="Arial" w:cs="Arial"/>
          <w:b/>
        </w:rPr>
        <w:t>C</w:t>
      </w:r>
      <w:r w:rsidRPr="00F17161">
        <w:rPr>
          <w:rFonts w:ascii="Arial" w:hAnsi="Arial" w:cs="Arial"/>
          <w:b/>
        </w:rPr>
        <w:t xml:space="preserve">ensus and </w:t>
      </w:r>
      <w:r w:rsidR="00F17161" w:rsidRPr="00C6586D">
        <w:rPr>
          <w:rFonts w:ascii="Arial" w:hAnsi="Arial" w:cs="Arial"/>
          <w:b/>
        </w:rPr>
        <w:t>2014</w:t>
      </w:r>
      <w:r w:rsidRPr="00C6586D">
        <w:rPr>
          <w:rFonts w:ascii="Arial" w:hAnsi="Arial" w:cs="Arial"/>
          <w:b/>
        </w:rPr>
        <w:t>/1</w:t>
      </w:r>
      <w:r w:rsidR="00F17161" w:rsidRPr="00C6586D">
        <w:rPr>
          <w:rFonts w:ascii="Arial" w:hAnsi="Arial" w:cs="Arial"/>
          <w:b/>
        </w:rPr>
        <w:t>5</w:t>
      </w:r>
      <w:r w:rsidRPr="00C6586D">
        <w:rPr>
          <w:rFonts w:ascii="Arial" w:hAnsi="Arial" w:cs="Arial"/>
          <w:b/>
        </w:rPr>
        <w:t xml:space="preserve"> HESA data</w:t>
      </w:r>
      <w:r w:rsidRPr="008C27E2">
        <w:rPr>
          <w:rFonts w:ascii="Arial" w:hAnsi="Arial" w:cs="Arial"/>
          <w:b/>
        </w:rPr>
        <w:t>)</w:t>
      </w:r>
    </w:p>
    <w:p w14:paraId="76FC9143" w14:textId="46F2F8EE" w:rsidR="008C27E2" w:rsidRPr="008C27E2" w:rsidRDefault="008C27E2" w:rsidP="00E96A36">
      <w:pPr>
        <w:rPr>
          <w:rFonts w:ascii="Arial" w:hAnsi="Arial" w:cs="Arial"/>
        </w:rPr>
      </w:pPr>
      <w:r w:rsidRPr="008C27E2">
        <w:rPr>
          <w:rFonts w:ascii="Arial" w:hAnsi="Arial" w:cs="Arial"/>
        </w:rPr>
        <w:t>Please note the HESA statistics</w:t>
      </w:r>
      <w:r>
        <w:rPr>
          <w:rFonts w:ascii="Arial" w:hAnsi="Arial" w:cs="Arial"/>
        </w:rPr>
        <w:t xml:space="preserve"> refer to </w:t>
      </w:r>
      <w:r w:rsidR="00F17161" w:rsidRPr="00B16419">
        <w:rPr>
          <w:rFonts w:ascii="Arial" w:hAnsi="Arial" w:cs="Arial"/>
        </w:rPr>
        <w:t>2014</w:t>
      </w:r>
      <w:r w:rsidRPr="00B16419">
        <w:rPr>
          <w:rFonts w:ascii="Arial" w:hAnsi="Arial" w:cs="Arial"/>
        </w:rPr>
        <w:t>/1</w:t>
      </w:r>
      <w:r w:rsidR="00F17161" w:rsidRPr="00B16419">
        <w:rPr>
          <w:rFonts w:ascii="Arial" w:hAnsi="Arial" w:cs="Arial"/>
        </w:rPr>
        <w:t>5</w:t>
      </w:r>
      <w:r>
        <w:rPr>
          <w:rFonts w:ascii="Arial" w:hAnsi="Arial" w:cs="Arial"/>
        </w:rPr>
        <w:t>, the most recent benchmarking data available</w:t>
      </w:r>
      <w:r w:rsidR="00F1716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Please also be aware that </w:t>
      </w:r>
      <w:r w:rsidRPr="008C27E2">
        <w:rPr>
          <w:rFonts w:ascii="Arial" w:hAnsi="Arial" w:cs="Arial"/>
        </w:rPr>
        <w:t xml:space="preserve">the </w:t>
      </w:r>
      <w:r w:rsidRPr="00B16419">
        <w:rPr>
          <w:rFonts w:ascii="Arial" w:hAnsi="Arial" w:cs="Arial"/>
        </w:rPr>
        <w:t>HESA</w:t>
      </w:r>
      <w:r>
        <w:rPr>
          <w:rFonts w:ascii="Arial" w:hAnsi="Arial" w:cs="Arial"/>
        </w:rPr>
        <w:t xml:space="preserve"> </w:t>
      </w:r>
      <w:r w:rsidRPr="008C27E2">
        <w:rPr>
          <w:rFonts w:ascii="Arial" w:hAnsi="Arial" w:cs="Arial"/>
        </w:rPr>
        <w:t xml:space="preserve">data refers to permanent and sessional figures </w:t>
      </w:r>
      <w:r>
        <w:rPr>
          <w:rFonts w:ascii="Arial" w:hAnsi="Arial" w:cs="Arial"/>
        </w:rPr>
        <w:t>combined</w:t>
      </w:r>
      <w:r w:rsidRPr="008C27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meaning the figures may differ from data provided in other aspects of the report. </w:t>
      </w:r>
    </w:p>
    <w:p w14:paraId="525DAB07" w14:textId="77777777" w:rsidR="00E96A36" w:rsidRPr="00BD5F8B" w:rsidRDefault="00E96A36" w:rsidP="00E96A36">
      <w:pPr>
        <w:rPr>
          <w:rFonts w:ascii="Arial" w:hAnsi="Arial" w:cs="Arial"/>
          <w:b/>
          <w:sz w:val="24"/>
          <w:szCs w:val="24"/>
        </w:rPr>
      </w:pPr>
      <w:r w:rsidRPr="00BD5F8B">
        <w:rPr>
          <w:rFonts w:ascii="Arial" w:hAnsi="Arial" w:cs="Arial"/>
          <w:b/>
          <w:sz w:val="24"/>
          <w:szCs w:val="24"/>
        </w:rPr>
        <w:t xml:space="preserve">AGE </w:t>
      </w:r>
    </w:p>
    <w:p w14:paraId="6E7716C3" w14:textId="77777777" w:rsidR="00E96A36" w:rsidRPr="00696088" w:rsidRDefault="00E96A36" w:rsidP="00E96A36">
      <w:pPr>
        <w:pStyle w:val="ListParagraph"/>
        <w:ind w:left="0"/>
        <w:rPr>
          <w:rFonts w:ascii="Arial" w:hAnsi="Arial" w:cs="Arial"/>
        </w:rPr>
      </w:pPr>
    </w:p>
    <w:p w14:paraId="69B13445" w14:textId="41F42260" w:rsidR="00E96A36" w:rsidRDefault="00E96A36" w:rsidP="00E96A3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A53C5">
        <w:rPr>
          <w:rFonts w:ascii="Arial" w:hAnsi="Arial" w:cs="Arial"/>
        </w:rPr>
        <w:t xml:space="preserve">The </w:t>
      </w:r>
      <w:r w:rsidRPr="00337D53">
        <w:rPr>
          <w:rFonts w:ascii="Arial" w:hAnsi="Arial" w:cs="Arial"/>
        </w:rPr>
        <w:t>2011 census</w:t>
      </w:r>
      <w:r w:rsidRPr="00696088">
        <w:rPr>
          <w:rFonts w:ascii="Arial" w:hAnsi="Arial" w:cs="Arial"/>
        </w:rPr>
        <w:t xml:space="preserve"> information for the London Borough of Greenwich</w:t>
      </w:r>
      <w:r w:rsidR="00026485">
        <w:rPr>
          <w:rFonts w:ascii="Arial" w:hAnsi="Arial" w:cs="Arial"/>
        </w:rPr>
        <w:t xml:space="preserve"> (LBG)</w:t>
      </w:r>
      <w:r w:rsidRPr="00696088">
        <w:rPr>
          <w:rFonts w:ascii="Arial" w:hAnsi="Arial" w:cs="Arial"/>
        </w:rPr>
        <w:t xml:space="preserve"> shows a correlation between the LBG and Ravensbourne, with representation of people at all age groups. </w:t>
      </w:r>
      <w:r w:rsidRPr="00B16419">
        <w:rPr>
          <w:rFonts w:ascii="Arial" w:hAnsi="Arial" w:cs="Arial"/>
        </w:rPr>
        <w:t>LGB</w:t>
      </w:r>
      <w:r w:rsidRPr="00696088">
        <w:rPr>
          <w:rFonts w:ascii="Arial" w:hAnsi="Arial" w:cs="Arial"/>
        </w:rPr>
        <w:t xml:space="preserve"> reports the mean age of the population at 35.8 years old. Ravensbourne’s mean is slightly higher </w:t>
      </w:r>
      <w:r w:rsidR="003117D9" w:rsidRPr="003117D9">
        <w:rPr>
          <w:rFonts w:ascii="Arial" w:hAnsi="Arial" w:cs="Arial"/>
        </w:rPr>
        <w:t>at 41.2</w:t>
      </w:r>
      <w:r w:rsidRPr="003117D9">
        <w:rPr>
          <w:rFonts w:ascii="Arial" w:hAnsi="Arial" w:cs="Arial"/>
        </w:rPr>
        <w:t xml:space="preserve"> </w:t>
      </w:r>
      <w:proofErr w:type="gramStart"/>
      <w:r w:rsidRPr="003117D9">
        <w:rPr>
          <w:rFonts w:ascii="Arial" w:hAnsi="Arial" w:cs="Arial"/>
        </w:rPr>
        <w:t>years</w:t>
      </w:r>
      <w:proofErr w:type="gramEnd"/>
      <w:r w:rsidRPr="003117D9">
        <w:rPr>
          <w:rFonts w:ascii="Arial" w:hAnsi="Arial" w:cs="Arial"/>
        </w:rPr>
        <w:t xml:space="preserve"> old</w:t>
      </w:r>
    </w:p>
    <w:p w14:paraId="4E2F179A" w14:textId="4B3360E0" w:rsidR="00E96A36" w:rsidRDefault="00E96A36" w:rsidP="00E96A3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Ravensbourne has</w:t>
      </w:r>
      <w:r w:rsidR="00D228BF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similar age profile to other comparable </w:t>
      </w:r>
      <w:r w:rsidR="00D228BF">
        <w:rPr>
          <w:rFonts w:ascii="Arial" w:hAnsi="Arial" w:cs="Arial"/>
        </w:rPr>
        <w:t>i</w:t>
      </w:r>
      <w:r>
        <w:rPr>
          <w:rFonts w:ascii="Arial" w:hAnsi="Arial" w:cs="Arial"/>
        </w:rPr>
        <w:t>nstitutions</w:t>
      </w:r>
      <w:r w:rsidR="00D228BF">
        <w:rPr>
          <w:rFonts w:ascii="Arial" w:hAnsi="Arial" w:cs="Arial"/>
        </w:rPr>
        <w:t>.</w:t>
      </w:r>
    </w:p>
    <w:p w14:paraId="7FA9554B" w14:textId="77777777" w:rsidR="00E96A36" w:rsidRDefault="00E96A36" w:rsidP="00E96A36">
      <w:pPr>
        <w:spacing w:after="0" w:line="240" w:lineRule="auto"/>
        <w:ind w:left="720"/>
        <w:rPr>
          <w:rFonts w:ascii="Arial" w:hAnsi="Arial" w:cs="Arial"/>
        </w:rPr>
      </w:pPr>
    </w:p>
    <w:tbl>
      <w:tblPr>
        <w:tblW w:w="9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"/>
        <w:gridCol w:w="11090"/>
      </w:tblGrid>
      <w:tr w:rsidR="00E00A54" w:rsidRPr="00E00A54" w14:paraId="37612B82" w14:textId="77777777" w:rsidTr="00694928">
        <w:trPr>
          <w:gridAfter w:val="1"/>
          <w:wAfter w:w="4839" w:type="dxa"/>
          <w:trHeight w:val="300"/>
        </w:trPr>
        <w:tc>
          <w:tcPr>
            <w:tcW w:w="0" w:type="auto"/>
            <w:vAlign w:val="center"/>
            <w:hideMark/>
          </w:tcPr>
          <w:p w14:paraId="1E3A2319" w14:textId="77777777" w:rsidR="00E00A54" w:rsidRPr="00E00A54" w:rsidRDefault="00E00A54" w:rsidP="00E0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0A54" w:rsidRPr="00E00A54" w14:paraId="29BE4FF0" w14:textId="77777777" w:rsidTr="00694928">
        <w:trPr>
          <w:trHeight w:val="300"/>
        </w:trPr>
        <w:tc>
          <w:tcPr>
            <w:tcW w:w="9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110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2"/>
              <w:gridCol w:w="1371"/>
              <w:gridCol w:w="1197"/>
              <w:gridCol w:w="1290"/>
              <w:gridCol w:w="2587"/>
            </w:tblGrid>
            <w:tr w:rsidR="00C42044" w:rsidRPr="00514177" w14:paraId="117ACB3B" w14:textId="77777777" w:rsidTr="00EE4885">
              <w:trPr>
                <w:trHeight w:val="300"/>
              </w:trPr>
              <w:tc>
                <w:tcPr>
                  <w:tcW w:w="4642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5CEE143" w14:textId="77777777" w:rsidR="00C42044" w:rsidRPr="00514177" w:rsidRDefault="00C42044" w:rsidP="0051417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Institution</w:t>
                  </w:r>
                </w:p>
              </w:tc>
              <w:tc>
                <w:tcPr>
                  <w:tcW w:w="137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CA48250" w14:textId="77777777" w:rsidR="00C42044" w:rsidRPr="00514177" w:rsidRDefault="00C42044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34 and under</w:t>
                  </w:r>
                </w:p>
              </w:tc>
              <w:tc>
                <w:tcPr>
                  <w:tcW w:w="1197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E27E8AB" w14:textId="77777777" w:rsidR="00C42044" w:rsidRPr="00514177" w:rsidRDefault="00C42044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35-49</w:t>
                  </w:r>
                </w:p>
              </w:tc>
              <w:tc>
                <w:tcPr>
                  <w:tcW w:w="129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C15A509" w14:textId="77777777" w:rsidR="00C42044" w:rsidRPr="00514177" w:rsidRDefault="00C42044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50-65</w:t>
                  </w:r>
                </w:p>
              </w:tc>
              <w:tc>
                <w:tcPr>
                  <w:tcW w:w="2587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5693DF5" w14:textId="77777777" w:rsidR="00C42044" w:rsidRPr="00514177" w:rsidRDefault="00C42044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66 and over</w:t>
                  </w:r>
                </w:p>
              </w:tc>
            </w:tr>
            <w:tr w:rsidR="00514177" w:rsidRPr="00514177" w14:paraId="192D1731" w14:textId="77777777" w:rsidTr="00EE4885">
              <w:trPr>
                <w:trHeight w:val="300"/>
              </w:trPr>
              <w:tc>
                <w:tcPr>
                  <w:tcW w:w="4642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BC10C93" w14:textId="77777777" w:rsidR="00514177" w:rsidRPr="00514177" w:rsidRDefault="00514177" w:rsidP="0051417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7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80C33E1" w14:textId="77777777" w:rsidR="00514177" w:rsidRPr="00514177" w:rsidRDefault="00514177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97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72EF55C" w14:textId="77777777" w:rsidR="00514177" w:rsidRPr="00514177" w:rsidRDefault="00514177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29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F87B438" w14:textId="77777777" w:rsidR="00514177" w:rsidRPr="00514177" w:rsidRDefault="00514177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587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419B476" w14:textId="77777777" w:rsidR="00514177" w:rsidRPr="00514177" w:rsidRDefault="00514177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42044" w:rsidRPr="00514177" w14:paraId="4FD4D22C" w14:textId="77777777" w:rsidTr="00EE4885">
              <w:trPr>
                <w:trHeight w:val="300"/>
              </w:trPr>
              <w:tc>
                <w:tcPr>
                  <w:tcW w:w="4642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ED34723" w14:textId="0D1856E8" w:rsidR="00C42044" w:rsidRPr="00514177" w:rsidRDefault="00C42044" w:rsidP="0023348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 Arts University Bournemouth</w:t>
                  </w:r>
                  <w:bookmarkStart w:id="0" w:name="_GoBack"/>
                  <w:bookmarkEnd w:id="0"/>
                </w:p>
              </w:tc>
              <w:tc>
                <w:tcPr>
                  <w:tcW w:w="137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A5CE619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23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1197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8F44BDC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45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129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F0F1DA6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29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2587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1F14444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3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</w:tr>
            <w:tr w:rsidR="00C42044" w:rsidRPr="00514177" w14:paraId="544A3EEF" w14:textId="77777777" w:rsidTr="00EE4885">
              <w:trPr>
                <w:trHeight w:val="300"/>
              </w:trPr>
              <w:tc>
                <w:tcPr>
                  <w:tcW w:w="4642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28FCA5C" w14:textId="4C278401" w:rsidR="00C42044" w:rsidRPr="00514177" w:rsidRDefault="00694928" w:rsidP="0023348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The Royal 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Central School of Speech and Drama</w:t>
                  </w:r>
                </w:p>
              </w:tc>
              <w:tc>
                <w:tcPr>
                  <w:tcW w:w="137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153063C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33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1197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9230B54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39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129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076860F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27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2587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E01C0B1" w14:textId="77777777" w:rsidR="00C42044" w:rsidRPr="00514177" w:rsidRDefault="00C42044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0%</w:t>
                  </w:r>
                </w:p>
              </w:tc>
            </w:tr>
            <w:tr w:rsidR="00C42044" w:rsidRPr="00514177" w14:paraId="1D44DAF3" w14:textId="77777777" w:rsidTr="00EE4885">
              <w:trPr>
                <w:trHeight w:val="300"/>
              </w:trPr>
              <w:tc>
                <w:tcPr>
                  <w:tcW w:w="4642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F5D41BF" w14:textId="77777777" w:rsidR="00C42044" w:rsidRPr="00514177" w:rsidRDefault="00C42044" w:rsidP="0023348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Kingston University</w:t>
                  </w:r>
                </w:p>
              </w:tc>
              <w:tc>
                <w:tcPr>
                  <w:tcW w:w="137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7B01DF1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21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1197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A79936C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42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129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5196D39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35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2587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B801F7E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1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</w:tr>
            <w:tr w:rsidR="00C42044" w:rsidRPr="00514177" w14:paraId="22B77C43" w14:textId="77777777" w:rsidTr="00EE4885">
              <w:trPr>
                <w:trHeight w:val="300"/>
              </w:trPr>
              <w:tc>
                <w:tcPr>
                  <w:tcW w:w="4642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5905C43" w14:textId="77777777" w:rsidR="00C42044" w:rsidRPr="00514177" w:rsidRDefault="00C42044" w:rsidP="0023348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Leeds Trinity University</w:t>
                  </w:r>
                </w:p>
              </w:tc>
              <w:tc>
                <w:tcPr>
                  <w:tcW w:w="137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E307B30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21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1197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4F2BC39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42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129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F2BC41A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35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2587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D0EFAC7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2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</w:tr>
            <w:tr w:rsidR="00C42044" w:rsidRPr="00514177" w14:paraId="40DD35B4" w14:textId="77777777" w:rsidTr="00EE4885">
              <w:trPr>
                <w:trHeight w:val="300"/>
              </w:trPr>
              <w:tc>
                <w:tcPr>
                  <w:tcW w:w="4642" w:type="dxa"/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426D341" w14:textId="79CABA79" w:rsidR="00C42044" w:rsidRPr="00514177" w:rsidRDefault="00E11D47" w:rsidP="0023348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University of the Arts 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London</w:t>
                  </w:r>
                </w:p>
              </w:tc>
              <w:tc>
                <w:tcPr>
                  <w:tcW w:w="1371" w:type="dxa"/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083584E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26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1197" w:type="dxa"/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9DF6D33" w14:textId="77777777" w:rsidR="00C42044" w:rsidRPr="00514177" w:rsidRDefault="00C42044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45%</w:t>
                  </w:r>
                </w:p>
              </w:tc>
              <w:tc>
                <w:tcPr>
                  <w:tcW w:w="1290" w:type="dxa"/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B6CEE3B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27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2587" w:type="dxa"/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CFC29D3" w14:textId="77777777" w:rsidR="00C42044" w:rsidRPr="00514177" w:rsidRDefault="00C42044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2%</w:t>
                  </w:r>
                </w:p>
              </w:tc>
            </w:tr>
            <w:tr w:rsidR="00C42044" w:rsidRPr="00514177" w14:paraId="2B0B75C0" w14:textId="77777777" w:rsidTr="00EE4885">
              <w:trPr>
                <w:trHeight w:val="300"/>
              </w:trPr>
              <w:tc>
                <w:tcPr>
                  <w:tcW w:w="4642" w:type="dxa"/>
                  <w:shd w:val="clear" w:color="auto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162211F" w14:textId="77777777" w:rsidR="00C42044" w:rsidRPr="00514177" w:rsidRDefault="00C42044" w:rsidP="0023348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Ravensbourne</w:t>
                  </w:r>
                </w:p>
              </w:tc>
              <w:tc>
                <w:tcPr>
                  <w:tcW w:w="1371" w:type="dxa"/>
                  <w:shd w:val="clear" w:color="auto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C9D56DD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30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1197" w:type="dxa"/>
                  <w:shd w:val="clear" w:color="auto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B1A2365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41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1290" w:type="dxa"/>
                  <w:shd w:val="clear" w:color="auto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4CCA722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25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2587" w:type="dxa"/>
                  <w:shd w:val="clear" w:color="auto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A347F7B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4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</w:tr>
            <w:tr w:rsidR="00C42044" w:rsidRPr="00514177" w14:paraId="4B950C2A" w14:textId="77777777" w:rsidTr="00EE4885">
              <w:trPr>
                <w:trHeight w:val="300"/>
              </w:trPr>
              <w:tc>
                <w:tcPr>
                  <w:tcW w:w="4642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1B123A9" w14:textId="77777777" w:rsidR="00C42044" w:rsidRPr="00514177" w:rsidRDefault="00C42044" w:rsidP="0023348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Rose Bruford College</w:t>
                  </w:r>
                </w:p>
              </w:tc>
              <w:tc>
                <w:tcPr>
                  <w:tcW w:w="137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3B1ED3A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12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1197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BE69406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38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129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7C98EBB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46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2587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A7592FF" w14:textId="77777777" w:rsidR="00C42044" w:rsidRPr="00514177" w:rsidRDefault="00C42044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4%</w:t>
                  </w:r>
                </w:p>
              </w:tc>
            </w:tr>
            <w:tr w:rsidR="00C42044" w:rsidRPr="00514177" w14:paraId="57CC60A8" w14:textId="77777777" w:rsidTr="00EE4885">
              <w:trPr>
                <w:trHeight w:val="300"/>
              </w:trPr>
              <w:tc>
                <w:tcPr>
                  <w:tcW w:w="4642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00084B2" w14:textId="77777777" w:rsidR="00C42044" w:rsidRPr="00514177" w:rsidRDefault="00C42044" w:rsidP="0023348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Royal College of Art</w:t>
                  </w:r>
                </w:p>
              </w:tc>
              <w:tc>
                <w:tcPr>
                  <w:tcW w:w="137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EEF678C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20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1197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1643941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49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129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CF552D2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28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2587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A7724D2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2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</w:tr>
            <w:tr w:rsidR="00C42044" w:rsidRPr="00514177" w14:paraId="13FE0632" w14:textId="77777777" w:rsidTr="00EE4885">
              <w:trPr>
                <w:trHeight w:val="525"/>
              </w:trPr>
              <w:tc>
                <w:tcPr>
                  <w:tcW w:w="4642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6A4FB1A" w14:textId="77777777" w:rsidR="00C42044" w:rsidRPr="00514177" w:rsidRDefault="00C42044" w:rsidP="0023348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Trinity Laban Conservatoire of Music and Dance</w:t>
                  </w:r>
                </w:p>
              </w:tc>
              <w:tc>
                <w:tcPr>
                  <w:tcW w:w="137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241E7C5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19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1197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5652372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39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129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40D8CB5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33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  <w:tc>
                <w:tcPr>
                  <w:tcW w:w="2587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6DBA962" w14:textId="77777777" w:rsidR="00C42044" w:rsidRPr="00514177" w:rsidRDefault="006A46CD" w:rsidP="00514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9</w:t>
                  </w:r>
                  <w:r w:rsidR="00C42044" w:rsidRPr="0051417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%</w:t>
                  </w:r>
                </w:p>
              </w:tc>
            </w:tr>
          </w:tbl>
          <w:p w14:paraId="13406DBB" w14:textId="77777777" w:rsidR="00E00A54" w:rsidRPr="00514177" w:rsidRDefault="00E00A54" w:rsidP="00E00A5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185955E7" w14:textId="77777777" w:rsidR="00694928" w:rsidRDefault="00694928">
      <w:r>
        <w:br w:type="page"/>
      </w:r>
    </w:p>
    <w:p w14:paraId="0AD034DF" w14:textId="3028788B" w:rsidR="00694928" w:rsidRDefault="00C42044" w:rsidP="006949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2044">
        <w:rPr>
          <w:rFonts w:ascii="Arial" w:hAnsi="Arial" w:cs="Arial"/>
          <w:b/>
          <w:sz w:val="24"/>
          <w:szCs w:val="24"/>
        </w:rPr>
        <w:lastRenderedPageBreak/>
        <w:t>DISABILITY</w:t>
      </w:r>
    </w:p>
    <w:p w14:paraId="1BA52991" w14:textId="77777777" w:rsidR="00694928" w:rsidRPr="00694928" w:rsidRDefault="00694928" w:rsidP="006949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88F958" w14:textId="70DC0E35" w:rsidR="00694928" w:rsidRPr="00C42044" w:rsidRDefault="00694928" w:rsidP="00694928">
      <w:pPr>
        <w:numPr>
          <w:ilvl w:val="0"/>
          <w:numId w:val="2"/>
        </w:numPr>
        <w:spacing w:after="0" w:line="240" w:lineRule="auto"/>
      </w:pPr>
      <w:r w:rsidRPr="00C42044">
        <w:rPr>
          <w:rFonts w:ascii="Arial" w:hAnsi="Arial" w:cs="Arial"/>
        </w:rPr>
        <w:t>The 2011 census information for the Royal Borough of Greenwich shows that 15.1% of their total population declared a disability. Ravensbourne’s figure of 1</w:t>
      </w:r>
      <w:r>
        <w:rPr>
          <w:rFonts w:ascii="Arial" w:hAnsi="Arial" w:cs="Arial"/>
        </w:rPr>
        <w:t>2</w:t>
      </w:r>
      <w:r w:rsidRPr="00C42044">
        <w:rPr>
          <w:rFonts w:ascii="Arial" w:hAnsi="Arial" w:cs="Arial"/>
        </w:rPr>
        <w:t>% disabled staff i</w:t>
      </w:r>
      <w:r w:rsidR="00CB069C">
        <w:rPr>
          <w:rFonts w:ascii="Arial" w:hAnsi="Arial" w:cs="Arial"/>
        </w:rPr>
        <w:t xml:space="preserve">s moving </w:t>
      </w:r>
      <w:r w:rsidRPr="00C42044">
        <w:rPr>
          <w:rFonts w:ascii="Arial" w:hAnsi="Arial" w:cs="Arial"/>
        </w:rPr>
        <w:t>close</w:t>
      </w:r>
      <w:r w:rsidR="00CB069C">
        <w:rPr>
          <w:rFonts w:ascii="Arial" w:hAnsi="Arial" w:cs="Arial"/>
        </w:rPr>
        <w:t>r</w:t>
      </w:r>
      <w:r w:rsidRPr="00C42044">
        <w:rPr>
          <w:rFonts w:ascii="Arial" w:hAnsi="Arial" w:cs="Arial"/>
        </w:rPr>
        <w:t xml:space="preserve"> to matching that of the LBG. </w:t>
      </w:r>
    </w:p>
    <w:p w14:paraId="51D296DC" w14:textId="530EB160" w:rsidR="00694928" w:rsidRPr="00C42044" w:rsidRDefault="00694928" w:rsidP="00694928">
      <w:pPr>
        <w:numPr>
          <w:ilvl w:val="0"/>
          <w:numId w:val="2"/>
        </w:numPr>
        <w:spacing w:after="0" w:line="240" w:lineRule="auto"/>
      </w:pPr>
      <w:r w:rsidRPr="00C42044">
        <w:rPr>
          <w:rFonts w:ascii="Arial" w:hAnsi="Arial" w:cs="Arial"/>
        </w:rPr>
        <w:t xml:space="preserve">The figures below show that Ravensbourne is placed </w:t>
      </w:r>
      <w:r w:rsidR="00CB069C">
        <w:rPr>
          <w:rFonts w:ascii="Arial" w:hAnsi="Arial" w:cs="Arial"/>
        </w:rPr>
        <w:t xml:space="preserve">within the top three </w:t>
      </w:r>
      <w:r w:rsidRPr="00C42044">
        <w:rPr>
          <w:rFonts w:ascii="Arial" w:hAnsi="Arial" w:cs="Arial"/>
        </w:rPr>
        <w:t xml:space="preserve">when comparing the number of staff with a declared disability against other comparable Institutions. </w:t>
      </w:r>
    </w:p>
    <w:p w14:paraId="33D0BC30" w14:textId="7214062F" w:rsidR="00BD5F8B" w:rsidRDefault="00BD5F8B" w:rsidP="00E96A3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3E23A0" w14:textId="77777777" w:rsidR="00694928" w:rsidRPr="00C42044" w:rsidRDefault="00694928" w:rsidP="00E96A3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051" w:type="dxa"/>
        <w:tblLook w:val="04A0" w:firstRow="1" w:lastRow="0" w:firstColumn="1" w:lastColumn="0" w:noHBand="0" w:noVBand="1"/>
      </w:tblPr>
      <w:tblGrid>
        <w:gridCol w:w="4957"/>
        <w:gridCol w:w="1417"/>
        <w:gridCol w:w="2268"/>
        <w:gridCol w:w="1701"/>
        <w:gridCol w:w="1559"/>
        <w:gridCol w:w="2149"/>
      </w:tblGrid>
      <w:tr w:rsidR="00C92E3D" w:rsidRPr="00B2752B" w14:paraId="349EFDF0" w14:textId="77777777" w:rsidTr="0081730D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14:paraId="332228C2" w14:textId="77777777" w:rsidR="00C92E3D" w:rsidRPr="00B2752B" w:rsidRDefault="00C92E3D" w:rsidP="00CA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408259F1" w14:textId="22318D66" w:rsidR="00C92E3D" w:rsidRPr="00B2752B" w:rsidRDefault="00C92E3D" w:rsidP="00CA53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Known disability</w:t>
            </w:r>
          </w:p>
        </w:tc>
        <w:tc>
          <w:tcPr>
            <w:tcW w:w="2268" w:type="dxa"/>
            <w:shd w:val="clear" w:color="auto" w:fill="auto"/>
            <w:hideMark/>
          </w:tcPr>
          <w:p w14:paraId="63C1469E" w14:textId="77777777" w:rsidR="00C92E3D" w:rsidRPr="00B2752B" w:rsidRDefault="00C92E3D" w:rsidP="00CA53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No known disability</w:t>
            </w:r>
          </w:p>
        </w:tc>
        <w:tc>
          <w:tcPr>
            <w:tcW w:w="1701" w:type="dxa"/>
            <w:shd w:val="clear" w:color="auto" w:fill="auto"/>
            <w:hideMark/>
          </w:tcPr>
          <w:p w14:paraId="08BF13F6" w14:textId="77777777" w:rsidR="00C92E3D" w:rsidRPr="00B2752B" w:rsidRDefault="00C92E3D" w:rsidP="00CA53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Unknown</w:t>
            </w:r>
          </w:p>
        </w:tc>
        <w:tc>
          <w:tcPr>
            <w:tcW w:w="1559" w:type="dxa"/>
            <w:shd w:val="clear" w:color="auto" w:fill="auto"/>
            <w:hideMark/>
          </w:tcPr>
          <w:p w14:paraId="256D81CF" w14:textId="77777777" w:rsidR="00C92E3D" w:rsidRPr="00B2752B" w:rsidRDefault="00C92E3D" w:rsidP="00CA53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Total Staff</w:t>
            </w:r>
          </w:p>
        </w:tc>
        <w:tc>
          <w:tcPr>
            <w:tcW w:w="2149" w:type="dxa"/>
            <w:shd w:val="clear" w:color="auto" w:fill="CCFFCC"/>
            <w:hideMark/>
          </w:tcPr>
          <w:p w14:paraId="76FF20EC" w14:textId="77777777" w:rsidR="00C92E3D" w:rsidRPr="00B2752B" w:rsidRDefault="00C92E3D" w:rsidP="00CA53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51417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Staff with d</w:t>
            </w:r>
            <w:r w:rsidRPr="00B2752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eclared disability</w:t>
            </w:r>
          </w:p>
        </w:tc>
      </w:tr>
      <w:tr w:rsidR="00C92E3D" w:rsidRPr="00B2752B" w14:paraId="4FCAA55C" w14:textId="77777777" w:rsidTr="0081730D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14:paraId="5280B1EF" w14:textId="77777777" w:rsidR="00C92E3D" w:rsidRPr="00B2752B" w:rsidRDefault="00C92E3D" w:rsidP="0051417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Institution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36FE2F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Numeric data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EC21B2E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Numeric data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997FD7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Numeric data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CA238F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Numeric data</w:t>
            </w:r>
          </w:p>
        </w:tc>
        <w:tc>
          <w:tcPr>
            <w:tcW w:w="2149" w:type="dxa"/>
            <w:shd w:val="clear" w:color="auto" w:fill="CCFFCC"/>
            <w:noWrap/>
            <w:vAlign w:val="bottom"/>
            <w:hideMark/>
          </w:tcPr>
          <w:p w14:paraId="1E6CD240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Percentage</w:t>
            </w:r>
          </w:p>
        </w:tc>
      </w:tr>
      <w:tr w:rsidR="00C92E3D" w:rsidRPr="00B2752B" w14:paraId="56465F9B" w14:textId="77777777" w:rsidTr="0081730D">
        <w:trPr>
          <w:trHeight w:val="315"/>
        </w:trPr>
        <w:tc>
          <w:tcPr>
            <w:tcW w:w="4957" w:type="dxa"/>
            <w:shd w:val="clear" w:color="auto" w:fill="auto"/>
            <w:vAlign w:val="bottom"/>
          </w:tcPr>
          <w:p w14:paraId="6531904B" w14:textId="77777777" w:rsidR="00C92E3D" w:rsidRPr="00514177" w:rsidRDefault="00C92E3D" w:rsidP="00CA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796C68" w14:textId="77777777" w:rsidR="00C92E3D" w:rsidRPr="00514177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2409F7C" w14:textId="77777777" w:rsidR="00C92E3D" w:rsidRPr="00514177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331963" w14:textId="77777777" w:rsidR="00C92E3D" w:rsidRPr="00514177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61AD6E" w14:textId="77777777" w:rsidR="00C92E3D" w:rsidRPr="00514177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49" w:type="dxa"/>
            <w:shd w:val="clear" w:color="auto" w:fill="CCFFCC"/>
            <w:noWrap/>
            <w:vAlign w:val="bottom"/>
          </w:tcPr>
          <w:p w14:paraId="79373703" w14:textId="77777777" w:rsidR="00C92E3D" w:rsidRPr="00514177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C92E3D" w:rsidRPr="00B2752B" w14:paraId="65288484" w14:textId="77777777" w:rsidTr="0081730D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14:paraId="2C369889" w14:textId="4A7BEF88" w:rsidR="00C92E3D" w:rsidRPr="00B2752B" w:rsidRDefault="00C92E3D" w:rsidP="00CA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Arts University Bournemouth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8678A4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2CF003F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495477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3A426F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465</w:t>
            </w:r>
          </w:p>
        </w:tc>
        <w:tc>
          <w:tcPr>
            <w:tcW w:w="2149" w:type="dxa"/>
            <w:shd w:val="clear" w:color="auto" w:fill="CCFFCC"/>
            <w:noWrap/>
            <w:vAlign w:val="bottom"/>
            <w:hideMark/>
          </w:tcPr>
          <w:p w14:paraId="280BBB98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8%</w:t>
            </w:r>
          </w:p>
        </w:tc>
      </w:tr>
      <w:tr w:rsidR="00C92E3D" w:rsidRPr="00B2752B" w14:paraId="760462F4" w14:textId="77777777" w:rsidTr="0081730D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14:paraId="5E70B509" w14:textId="2C49B118" w:rsidR="00C92E3D" w:rsidRPr="00B2752B" w:rsidRDefault="00C92E3D" w:rsidP="00CA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The Royal </w:t>
            </w: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Central School of Speech and Drama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DE087E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4F884AA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06651D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62175F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170</w:t>
            </w:r>
          </w:p>
        </w:tc>
        <w:tc>
          <w:tcPr>
            <w:tcW w:w="2149" w:type="dxa"/>
            <w:shd w:val="clear" w:color="auto" w:fill="CCFFCC"/>
            <w:noWrap/>
            <w:vAlign w:val="bottom"/>
            <w:hideMark/>
          </w:tcPr>
          <w:p w14:paraId="6013E350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3%</w:t>
            </w:r>
          </w:p>
        </w:tc>
      </w:tr>
      <w:tr w:rsidR="00C92E3D" w:rsidRPr="00B2752B" w14:paraId="0FD6A80D" w14:textId="77777777" w:rsidTr="0081730D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14:paraId="21552440" w14:textId="77777777" w:rsidR="00C92E3D" w:rsidRPr="00B2752B" w:rsidRDefault="00C92E3D" w:rsidP="00CA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Kingston University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5C7D98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94B21F6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62A9DE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1B78C5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1940</w:t>
            </w:r>
          </w:p>
        </w:tc>
        <w:tc>
          <w:tcPr>
            <w:tcW w:w="2149" w:type="dxa"/>
            <w:shd w:val="clear" w:color="auto" w:fill="CCFFCC"/>
            <w:noWrap/>
            <w:vAlign w:val="bottom"/>
            <w:hideMark/>
          </w:tcPr>
          <w:p w14:paraId="7B6FECA6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5%</w:t>
            </w:r>
          </w:p>
        </w:tc>
      </w:tr>
      <w:tr w:rsidR="00C92E3D" w:rsidRPr="00B2752B" w14:paraId="1234CBF9" w14:textId="77777777" w:rsidTr="0081730D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14:paraId="38F9A50F" w14:textId="77777777" w:rsidR="00C92E3D" w:rsidRPr="00B2752B" w:rsidRDefault="00C92E3D" w:rsidP="00CA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Leeds Trinity University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3DFBFA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0F88341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D041DB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7B6852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415</w:t>
            </w:r>
          </w:p>
        </w:tc>
        <w:tc>
          <w:tcPr>
            <w:tcW w:w="2149" w:type="dxa"/>
            <w:shd w:val="clear" w:color="auto" w:fill="CCFFCC"/>
            <w:noWrap/>
            <w:vAlign w:val="bottom"/>
            <w:hideMark/>
          </w:tcPr>
          <w:p w14:paraId="1659E863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7%</w:t>
            </w:r>
          </w:p>
        </w:tc>
      </w:tr>
      <w:tr w:rsidR="00C92E3D" w:rsidRPr="00B2752B" w14:paraId="055DEDA9" w14:textId="77777777" w:rsidTr="0081730D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14:paraId="0E81D72B" w14:textId="0FA10CAD" w:rsidR="00C92E3D" w:rsidRPr="00B2752B" w:rsidRDefault="00C92E3D" w:rsidP="00CA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University of the Arts London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283994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035BC01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3055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7A5904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B5C298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3385</w:t>
            </w:r>
          </w:p>
        </w:tc>
        <w:tc>
          <w:tcPr>
            <w:tcW w:w="2149" w:type="dxa"/>
            <w:shd w:val="clear" w:color="auto" w:fill="CCFFCC"/>
            <w:noWrap/>
            <w:vAlign w:val="bottom"/>
            <w:hideMark/>
          </w:tcPr>
          <w:p w14:paraId="6B7BBF11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7%</w:t>
            </w:r>
          </w:p>
        </w:tc>
      </w:tr>
      <w:tr w:rsidR="00C92E3D" w:rsidRPr="00B2752B" w14:paraId="6EE5EBC2" w14:textId="77777777" w:rsidTr="0081730D">
        <w:trPr>
          <w:trHeight w:val="315"/>
        </w:trPr>
        <w:tc>
          <w:tcPr>
            <w:tcW w:w="4957" w:type="dxa"/>
            <w:shd w:val="clear" w:color="000000" w:fill="FFFF00"/>
            <w:vAlign w:val="bottom"/>
            <w:hideMark/>
          </w:tcPr>
          <w:p w14:paraId="7F7310E2" w14:textId="77777777" w:rsidR="00C92E3D" w:rsidRPr="00B2752B" w:rsidRDefault="00C92E3D" w:rsidP="00CA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Ravensbourne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C5B998C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2268" w:type="dxa"/>
            <w:shd w:val="clear" w:color="000000" w:fill="FFFF00"/>
            <w:noWrap/>
            <w:vAlign w:val="bottom"/>
            <w:hideMark/>
          </w:tcPr>
          <w:p w14:paraId="611E7BFB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240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14:paraId="69872A37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14:paraId="016B7E9D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285</w:t>
            </w:r>
          </w:p>
        </w:tc>
        <w:tc>
          <w:tcPr>
            <w:tcW w:w="2149" w:type="dxa"/>
            <w:shd w:val="clear" w:color="auto" w:fill="FFFF00"/>
            <w:noWrap/>
            <w:vAlign w:val="bottom"/>
            <w:hideMark/>
          </w:tcPr>
          <w:p w14:paraId="53293513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en-GB"/>
              </w:rPr>
              <w:t>12%</w:t>
            </w:r>
          </w:p>
        </w:tc>
      </w:tr>
      <w:tr w:rsidR="00C92E3D" w:rsidRPr="00B2752B" w14:paraId="2A6B1C38" w14:textId="77777777" w:rsidTr="0081730D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14:paraId="05926F83" w14:textId="77777777" w:rsidR="00C92E3D" w:rsidRPr="00B2752B" w:rsidRDefault="00C92E3D" w:rsidP="00CA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Rose Bruford College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CC95C8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C9B0568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2B21E7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C05A75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135</w:t>
            </w:r>
          </w:p>
        </w:tc>
        <w:tc>
          <w:tcPr>
            <w:tcW w:w="2149" w:type="dxa"/>
            <w:shd w:val="clear" w:color="auto" w:fill="CCFFCC"/>
            <w:noWrap/>
            <w:vAlign w:val="bottom"/>
            <w:hideMark/>
          </w:tcPr>
          <w:p w14:paraId="0A564393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19%</w:t>
            </w:r>
          </w:p>
        </w:tc>
      </w:tr>
      <w:tr w:rsidR="00C92E3D" w:rsidRPr="00B2752B" w14:paraId="0AC3BB08" w14:textId="77777777" w:rsidTr="0081730D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14:paraId="6A266490" w14:textId="77777777" w:rsidR="00C92E3D" w:rsidRPr="00B2752B" w:rsidRDefault="00C92E3D" w:rsidP="00CA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Royal College of Art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ECC872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FD298FA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438750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AACF66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400</w:t>
            </w:r>
          </w:p>
        </w:tc>
        <w:tc>
          <w:tcPr>
            <w:tcW w:w="2149" w:type="dxa"/>
            <w:shd w:val="clear" w:color="auto" w:fill="CCFFCC"/>
            <w:noWrap/>
            <w:vAlign w:val="bottom"/>
            <w:hideMark/>
          </w:tcPr>
          <w:p w14:paraId="4F304B40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14%</w:t>
            </w:r>
          </w:p>
        </w:tc>
      </w:tr>
      <w:tr w:rsidR="00C92E3D" w:rsidRPr="00B2752B" w14:paraId="42EBA81C" w14:textId="77777777" w:rsidTr="0081730D">
        <w:trPr>
          <w:trHeight w:val="345"/>
        </w:trPr>
        <w:tc>
          <w:tcPr>
            <w:tcW w:w="4957" w:type="dxa"/>
            <w:shd w:val="clear" w:color="auto" w:fill="auto"/>
            <w:hideMark/>
          </w:tcPr>
          <w:p w14:paraId="11EAE126" w14:textId="77777777" w:rsidR="00C92E3D" w:rsidRPr="00B2752B" w:rsidRDefault="00C92E3D" w:rsidP="00CA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Trinity Laban Conservatoire of Music and Dance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ACC2DF7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60C61A8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0B2680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D0C661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149" w:type="dxa"/>
            <w:shd w:val="clear" w:color="auto" w:fill="CCFFCC"/>
            <w:noWrap/>
            <w:hideMark/>
          </w:tcPr>
          <w:p w14:paraId="2F5DF779" w14:textId="77777777" w:rsidR="00C92E3D" w:rsidRPr="00B2752B" w:rsidRDefault="00C92E3D" w:rsidP="00C92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27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3%</w:t>
            </w:r>
          </w:p>
        </w:tc>
      </w:tr>
    </w:tbl>
    <w:p w14:paraId="2434B8E8" w14:textId="500E643C" w:rsidR="00E96A36" w:rsidRPr="00F05504" w:rsidRDefault="008D5884" w:rsidP="00E96A36">
      <w:pPr>
        <w:rPr>
          <w:rFonts w:ascii="Arial" w:hAnsi="Arial" w:cs="Arial"/>
          <w:b/>
          <w:sz w:val="24"/>
          <w:szCs w:val="24"/>
        </w:rPr>
      </w:pPr>
      <w:r w:rsidRPr="002E21AA">
        <w:rPr>
          <w:rFonts w:ascii="Arial" w:hAnsi="Arial" w:cs="Arial"/>
          <w:b/>
          <w:sz w:val="24"/>
          <w:szCs w:val="24"/>
        </w:rPr>
        <w:br w:type="page"/>
      </w:r>
      <w:r w:rsidR="00E96A36" w:rsidRPr="00F05504">
        <w:rPr>
          <w:rFonts w:ascii="Arial" w:hAnsi="Arial" w:cs="Arial"/>
          <w:b/>
          <w:sz w:val="24"/>
          <w:szCs w:val="24"/>
        </w:rPr>
        <w:lastRenderedPageBreak/>
        <w:t xml:space="preserve">ETHNICITY </w:t>
      </w:r>
    </w:p>
    <w:p w14:paraId="15A667BD" w14:textId="0F09C5D7" w:rsidR="00E96A36" w:rsidRPr="008D5884" w:rsidRDefault="00E96A36" w:rsidP="00E96A36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95222">
        <w:rPr>
          <w:rFonts w:ascii="Arial" w:hAnsi="Arial" w:cs="Arial"/>
        </w:rPr>
        <w:t>The census information for the Royal Borough of Greenwich</w:t>
      </w:r>
      <w:r w:rsidR="00D228BF">
        <w:rPr>
          <w:rFonts w:ascii="Arial" w:hAnsi="Arial" w:cs="Arial"/>
        </w:rPr>
        <w:t xml:space="preserve"> (RBG)</w:t>
      </w:r>
      <w:r w:rsidRPr="00895222">
        <w:rPr>
          <w:rFonts w:ascii="Arial" w:hAnsi="Arial" w:cs="Arial"/>
        </w:rPr>
        <w:t xml:space="preserve"> in 2011 shows that </w:t>
      </w:r>
      <w:r w:rsidRPr="00895222">
        <w:rPr>
          <w:rFonts w:ascii="Arial" w:hAnsi="Arial" w:cs="Arial"/>
          <w:bCs/>
        </w:rPr>
        <w:t xml:space="preserve">47.7% </w:t>
      </w:r>
      <w:r w:rsidRPr="00895222">
        <w:rPr>
          <w:rFonts w:ascii="Arial" w:hAnsi="Arial" w:cs="Arial"/>
        </w:rPr>
        <w:t>of their total population are of B</w:t>
      </w:r>
      <w:r>
        <w:rPr>
          <w:rFonts w:ascii="Arial" w:hAnsi="Arial" w:cs="Arial"/>
        </w:rPr>
        <w:t>A</w:t>
      </w:r>
      <w:r w:rsidRPr="00895222">
        <w:rPr>
          <w:rFonts w:ascii="Arial" w:hAnsi="Arial" w:cs="Arial"/>
        </w:rPr>
        <w:t>ME origin. Ravensbourne</w:t>
      </w:r>
      <w:r>
        <w:rPr>
          <w:rFonts w:ascii="Arial" w:hAnsi="Arial" w:cs="Arial"/>
        </w:rPr>
        <w:t>’s</w:t>
      </w:r>
      <w:r w:rsidRPr="00895222">
        <w:rPr>
          <w:rFonts w:ascii="Arial" w:hAnsi="Arial" w:cs="Arial"/>
        </w:rPr>
        <w:t xml:space="preserve"> proportion of 1</w:t>
      </w:r>
      <w:r w:rsidR="00D228BF">
        <w:rPr>
          <w:rFonts w:ascii="Arial" w:hAnsi="Arial" w:cs="Arial"/>
        </w:rPr>
        <w:t>6</w:t>
      </w:r>
      <w:r w:rsidR="006F174B" w:rsidRPr="00895222">
        <w:rPr>
          <w:rFonts w:ascii="Arial" w:hAnsi="Arial" w:cs="Arial"/>
        </w:rPr>
        <w:t>%</w:t>
      </w:r>
      <w:r w:rsidRPr="00895222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shows </w:t>
      </w:r>
      <w:r w:rsidR="00D228BF">
        <w:rPr>
          <w:rFonts w:ascii="Arial" w:hAnsi="Arial" w:cs="Arial"/>
          <w:bCs/>
        </w:rPr>
        <w:t xml:space="preserve">a clear need for continued work </w:t>
      </w:r>
      <w:r>
        <w:rPr>
          <w:rFonts w:ascii="Arial" w:hAnsi="Arial" w:cs="Arial"/>
          <w:bCs/>
        </w:rPr>
        <w:t>in increasing the number of BAME staff if we are to better represent the local profile. Here it should be noted however</w:t>
      </w:r>
      <w:r w:rsidR="00D228B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that whilst we will strive to better reflect the community in which we live, it needs to be taken into consideration that 20.6% of Greenwich residents do not hold a qualification and only 20.4% of individuals fall into the professional category</w:t>
      </w:r>
      <w:r w:rsidRPr="0089522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6F174B">
        <w:rPr>
          <w:rFonts w:ascii="Arial" w:hAnsi="Arial" w:cs="Arial"/>
          <w:bCs/>
        </w:rPr>
        <w:t>These figures are important when considering our statistics and suggest</w:t>
      </w:r>
      <w:r w:rsidR="00F05504">
        <w:rPr>
          <w:rFonts w:ascii="Arial" w:hAnsi="Arial" w:cs="Arial"/>
          <w:bCs/>
        </w:rPr>
        <w:t xml:space="preserve"> </w:t>
      </w:r>
      <w:r w:rsidR="00832C1B">
        <w:rPr>
          <w:rFonts w:ascii="Arial" w:hAnsi="Arial" w:cs="Arial"/>
          <w:bCs/>
        </w:rPr>
        <w:t xml:space="preserve">that </w:t>
      </w:r>
      <w:r>
        <w:rPr>
          <w:rFonts w:ascii="Arial" w:hAnsi="Arial" w:cs="Arial"/>
          <w:bCs/>
        </w:rPr>
        <w:t xml:space="preserve">it may not be realistic to set our targets for a matching percentage of BAME staff compared to the RBG figures. </w:t>
      </w:r>
    </w:p>
    <w:p w14:paraId="2BE66DC4" w14:textId="140A6FD6" w:rsidR="008D5884" w:rsidRPr="008D5884" w:rsidRDefault="008D5884" w:rsidP="00E96A36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figures below show that Ravensbourne has</w:t>
      </w:r>
      <w:r w:rsidR="00A95572">
        <w:rPr>
          <w:rFonts w:ascii="Arial" w:hAnsi="Arial" w:cs="Arial"/>
        </w:rPr>
        <w:t xml:space="preserve"> the</w:t>
      </w:r>
      <w:r w:rsidR="00F05504">
        <w:rPr>
          <w:rFonts w:ascii="Arial" w:hAnsi="Arial" w:cs="Arial"/>
        </w:rPr>
        <w:t xml:space="preserve"> </w:t>
      </w:r>
      <w:r w:rsidR="00A95572">
        <w:rPr>
          <w:rFonts w:ascii="Arial" w:hAnsi="Arial" w:cs="Arial"/>
        </w:rPr>
        <w:t xml:space="preserve">strongest </w:t>
      </w:r>
      <w:r>
        <w:rPr>
          <w:rFonts w:ascii="Arial" w:hAnsi="Arial" w:cs="Arial"/>
        </w:rPr>
        <w:t>BAME</w:t>
      </w:r>
      <w:r w:rsidR="00F05504">
        <w:rPr>
          <w:rFonts w:ascii="Arial" w:hAnsi="Arial" w:cs="Arial"/>
        </w:rPr>
        <w:t xml:space="preserve"> profile </w:t>
      </w:r>
      <w:r>
        <w:rPr>
          <w:rFonts w:ascii="Arial" w:hAnsi="Arial" w:cs="Arial"/>
        </w:rPr>
        <w:t xml:space="preserve">when looking at comparable </w:t>
      </w:r>
      <w:r w:rsidR="00832C1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nstitutions. </w:t>
      </w:r>
    </w:p>
    <w:p w14:paraId="334D1E9E" w14:textId="77777777" w:rsidR="008D5884" w:rsidRPr="00895222" w:rsidRDefault="008D5884" w:rsidP="008D5884">
      <w:pPr>
        <w:spacing w:after="0" w:line="240" w:lineRule="auto"/>
        <w:ind w:left="720"/>
        <w:rPr>
          <w:rFonts w:ascii="Arial" w:hAnsi="Arial" w:cs="Arial"/>
        </w:rPr>
      </w:pPr>
    </w:p>
    <w:p w14:paraId="42E7A5B8" w14:textId="0A79E3CF" w:rsidR="00A22D52" w:rsidRDefault="00A22D52">
      <w:pPr>
        <w:rPr>
          <w:rFonts w:ascii="Arial" w:hAnsi="Arial" w:cs="Arial"/>
          <w:b/>
        </w:rPr>
      </w:pPr>
    </w:p>
    <w:tbl>
      <w:tblPr>
        <w:tblW w:w="14170" w:type="dxa"/>
        <w:tblLook w:val="04A0" w:firstRow="1" w:lastRow="0" w:firstColumn="1" w:lastColumn="0" w:noHBand="0" w:noVBand="1"/>
      </w:tblPr>
      <w:tblGrid>
        <w:gridCol w:w="5382"/>
        <w:gridCol w:w="992"/>
        <w:gridCol w:w="992"/>
        <w:gridCol w:w="1134"/>
        <w:gridCol w:w="1701"/>
        <w:gridCol w:w="1276"/>
        <w:gridCol w:w="1134"/>
        <w:gridCol w:w="1559"/>
      </w:tblGrid>
      <w:tr w:rsidR="00D336B0" w:rsidRPr="00A22D52" w14:paraId="089220A5" w14:textId="77777777" w:rsidTr="00FA4750">
        <w:trPr>
          <w:trHeight w:val="945"/>
        </w:trPr>
        <w:tc>
          <w:tcPr>
            <w:tcW w:w="5382" w:type="dxa"/>
            <w:shd w:val="clear" w:color="auto" w:fill="auto"/>
            <w:vAlign w:val="bottom"/>
            <w:hideMark/>
          </w:tcPr>
          <w:p w14:paraId="4BCD5165" w14:textId="1106502D" w:rsidR="00A22D52" w:rsidRPr="00A22D52" w:rsidRDefault="00584841" w:rsidP="00A22D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Institution</w:t>
            </w:r>
          </w:p>
        </w:tc>
        <w:tc>
          <w:tcPr>
            <w:tcW w:w="992" w:type="dxa"/>
            <w:shd w:val="clear" w:color="auto" w:fill="auto"/>
            <w:hideMark/>
          </w:tcPr>
          <w:p w14:paraId="1EB86975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White</w:t>
            </w:r>
          </w:p>
        </w:tc>
        <w:tc>
          <w:tcPr>
            <w:tcW w:w="992" w:type="dxa"/>
            <w:shd w:val="clear" w:color="auto" w:fill="auto"/>
            <w:hideMark/>
          </w:tcPr>
          <w:p w14:paraId="23B27836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Black</w:t>
            </w:r>
          </w:p>
        </w:tc>
        <w:tc>
          <w:tcPr>
            <w:tcW w:w="1134" w:type="dxa"/>
            <w:shd w:val="clear" w:color="auto" w:fill="auto"/>
            <w:hideMark/>
          </w:tcPr>
          <w:p w14:paraId="10BA66C5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Asian</w:t>
            </w:r>
          </w:p>
        </w:tc>
        <w:tc>
          <w:tcPr>
            <w:tcW w:w="1701" w:type="dxa"/>
            <w:shd w:val="clear" w:color="auto" w:fill="auto"/>
            <w:hideMark/>
          </w:tcPr>
          <w:p w14:paraId="5A053B0D" w14:textId="6A6EE4E3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Other (including mixed)</w:t>
            </w:r>
          </w:p>
        </w:tc>
        <w:tc>
          <w:tcPr>
            <w:tcW w:w="1276" w:type="dxa"/>
            <w:shd w:val="clear" w:color="auto" w:fill="auto"/>
            <w:hideMark/>
          </w:tcPr>
          <w:p w14:paraId="15B7575D" w14:textId="3B4FB800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Not known</w:t>
            </w:r>
          </w:p>
        </w:tc>
        <w:tc>
          <w:tcPr>
            <w:tcW w:w="1134" w:type="dxa"/>
            <w:shd w:val="clear" w:color="auto" w:fill="auto"/>
            <w:hideMark/>
          </w:tcPr>
          <w:p w14:paraId="359F4501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559" w:type="dxa"/>
            <w:shd w:val="clear" w:color="auto" w:fill="auto"/>
            <w:hideMark/>
          </w:tcPr>
          <w:p w14:paraId="3A27165F" w14:textId="5228C73E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536A4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Percentage</w:t>
            </w:r>
            <w:r w:rsidRPr="00A22D5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 xml:space="preserve"> of BAME Staff</w:t>
            </w:r>
          </w:p>
        </w:tc>
      </w:tr>
      <w:tr w:rsidR="00D336B0" w:rsidRPr="00A22D52" w14:paraId="3FB4B297" w14:textId="77777777" w:rsidTr="00FA4750">
        <w:trPr>
          <w:trHeight w:val="315"/>
        </w:trPr>
        <w:tc>
          <w:tcPr>
            <w:tcW w:w="5382" w:type="dxa"/>
            <w:shd w:val="clear" w:color="auto" w:fill="auto"/>
            <w:vAlign w:val="bottom"/>
            <w:hideMark/>
          </w:tcPr>
          <w:p w14:paraId="68FAFD28" w14:textId="118406D2" w:rsidR="00A22D52" w:rsidRPr="00A22D52" w:rsidRDefault="00A22D52" w:rsidP="00A22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CECF9A" w14:textId="77777777" w:rsidR="00A22D52" w:rsidRPr="00A22D52" w:rsidRDefault="00A22D52" w:rsidP="00A22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FF529D" w14:textId="77777777" w:rsidR="00A22D52" w:rsidRPr="00A22D52" w:rsidRDefault="00A22D52" w:rsidP="00A22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111AB0" w14:textId="77777777" w:rsidR="00A22D52" w:rsidRPr="00A22D52" w:rsidRDefault="00A22D52" w:rsidP="00A22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39C0FC" w14:textId="77777777" w:rsidR="00A22D52" w:rsidRPr="00A22D52" w:rsidRDefault="00A22D52" w:rsidP="00A22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AD3E5D" w14:textId="77777777" w:rsidR="00A22D52" w:rsidRPr="00A22D52" w:rsidRDefault="00A22D52" w:rsidP="00A22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3E662D" w14:textId="77777777" w:rsidR="00A22D52" w:rsidRPr="00A22D52" w:rsidRDefault="00A22D52" w:rsidP="00A22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E2B7DF" w14:textId="77777777" w:rsidR="00A22D52" w:rsidRPr="00A22D52" w:rsidRDefault="00A22D52" w:rsidP="00A22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336B0" w:rsidRPr="00A22D52" w14:paraId="449554E1" w14:textId="77777777" w:rsidTr="00FA4750">
        <w:trPr>
          <w:trHeight w:val="315"/>
        </w:trPr>
        <w:tc>
          <w:tcPr>
            <w:tcW w:w="5382" w:type="dxa"/>
            <w:shd w:val="clear" w:color="auto" w:fill="auto"/>
            <w:vAlign w:val="bottom"/>
            <w:hideMark/>
          </w:tcPr>
          <w:p w14:paraId="123416C3" w14:textId="5C1491BD" w:rsidR="00A22D52" w:rsidRPr="00A22D52" w:rsidRDefault="00A22D52" w:rsidP="00A22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Arts University Bournemouth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359EA63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B81D6F8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20BD70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6104741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A7315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6DF11A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C751AE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5%</w:t>
            </w:r>
          </w:p>
        </w:tc>
      </w:tr>
      <w:tr w:rsidR="00D336B0" w:rsidRPr="00A22D52" w14:paraId="7EE0387F" w14:textId="77777777" w:rsidTr="00FA4750">
        <w:trPr>
          <w:trHeight w:val="315"/>
        </w:trPr>
        <w:tc>
          <w:tcPr>
            <w:tcW w:w="5382" w:type="dxa"/>
            <w:shd w:val="clear" w:color="auto" w:fill="auto"/>
            <w:vAlign w:val="bottom"/>
            <w:hideMark/>
          </w:tcPr>
          <w:p w14:paraId="2FE61F52" w14:textId="5D717CBC" w:rsidR="00A22D52" w:rsidRPr="00A22D52" w:rsidRDefault="00694928" w:rsidP="00A22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The Royal </w:t>
            </w:r>
            <w:r w:rsidR="00A22D52"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Central School of Speech and Drama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A4C4FA0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C9787DD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4401D9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07D680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C98EF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43D7A5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B4D871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12%</w:t>
            </w:r>
          </w:p>
        </w:tc>
      </w:tr>
      <w:tr w:rsidR="00D336B0" w:rsidRPr="00A22D52" w14:paraId="61FC08C2" w14:textId="77777777" w:rsidTr="00FA4750">
        <w:trPr>
          <w:trHeight w:val="315"/>
        </w:trPr>
        <w:tc>
          <w:tcPr>
            <w:tcW w:w="5382" w:type="dxa"/>
            <w:shd w:val="clear" w:color="auto" w:fill="auto"/>
            <w:vAlign w:val="bottom"/>
            <w:hideMark/>
          </w:tcPr>
          <w:p w14:paraId="7AE44AFB" w14:textId="77777777" w:rsidR="00A22D52" w:rsidRPr="00A22D52" w:rsidRDefault="00A22D52" w:rsidP="00A22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Kingston University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31D804A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1,490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DCF4929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367F29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170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9B93CDB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08C27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ED91E8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032DAD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15%</w:t>
            </w:r>
          </w:p>
        </w:tc>
      </w:tr>
      <w:tr w:rsidR="00D336B0" w:rsidRPr="00A22D52" w14:paraId="2CDFE424" w14:textId="77777777" w:rsidTr="00FA4750">
        <w:trPr>
          <w:trHeight w:val="315"/>
        </w:trPr>
        <w:tc>
          <w:tcPr>
            <w:tcW w:w="5382" w:type="dxa"/>
            <w:shd w:val="clear" w:color="auto" w:fill="auto"/>
            <w:vAlign w:val="bottom"/>
            <w:hideMark/>
          </w:tcPr>
          <w:p w14:paraId="1CE8DC2F" w14:textId="77777777" w:rsidR="00A22D52" w:rsidRPr="00A22D52" w:rsidRDefault="00A22D52" w:rsidP="00A22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Leeds Trinity University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C53CB85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385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5B37BFE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A88E78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6E9192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3712C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A96461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7C83F9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4%</w:t>
            </w:r>
          </w:p>
        </w:tc>
      </w:tr>
      <w:tr w:rsidR="00D336B0" w:rsidRPr="00A22D52" w14:paraId="6F8C5C96" w14:textId="77777777" w:rsidTr="00FA4750">
        <w:trPr>
          <w:trHeight w:val="315"/>
        </w:trPr>
        <w:tc>
          <w:tcPr>
            <w:tcW w:w="5382" w:type="dxa"/>
            <w:shd w:val="clear" w:color="auto" w:fill="auto"/>
            <w:vAlign w:val="bottom"/>
            <w:hideMark/>
          </w:tcPr>
          <w:p w14:paraId="244001B0" w14:textId="090BEE63" w:rsidR="00A22D52" w:rsidRPr="00A22D52" w:rsidRDefault="00A22D52" w:rsidP="00A22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University of the Arts London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68D70CA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1,875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B2CC389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56238E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9ECEAF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BF014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1,150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E62DAB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3385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72E372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11%</w:t>
            </w:r>
          </w:p>
        </w:tc>
      </w:tr>
      <w:tr w:rsidR="00D336B0" w:rsidRPr="00A22D52" w14:paraId="45503E2A" w14:textId="77777777" w:rsidTr="00FA4750">
        <w:trPr>
          <w:trHeight w:val="315"/>
        </w:trPr>
        <w:tc>
          <w:tcPr>
            <w:tcW w:w="5382" w:type="dxa"/>
            <w:shd w:val="clear" w:color="000000" w:fill="FFFF00"/>
            <w:vAlign w:val="bottom"/>
            <w:hideMark/>
          </w:tcPr>
          <w:p w14:paraId="76C8CDF7" w14:textId="77777777" w:rsidR="00A22D52" w:rsidRPr="00A22D52" w:rsidRDefault="00A22D52" w:rsidP="00A22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Ravensbourne</w:t>
            </w:r>
          </w:p>
        </w:tc>
        <w:tc>
          <w:tcPr>
            <w:tcW w:w="992" w:type="dxa"/>
            <w:shd w:val="clear" w:color="000000" w:fill="FFFF00"/>
            <w:vAlign w:val="bottom"/>
            <w:hideMark/>
          </w:tcPr>
          <w:p w14:paraId="10927717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225</w:t>
            </w:r>
          </w:p>
        </w:tc>
        <w:tc>
          <w:tcPr>
            <w:tcW w:w="992" w:type="dxa"/>
            <w:shd w:val="clear" w:color="000000" w:fill="FFFF00"/>
            <w:vAlign w:val="bottom"/>
            <w:hideMark/>
          </w:tcPr>
          <w:p w14:paraId="5DEF78A8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34" w:type="dxa"/>
            <w:shd w:val="clear" w:color="000000" w:fill="FFFF00"/>
            <w:vAlign w:val="bottom"/>
            <w:hideMark/>
          </w:tcPr>
          <w:p w14:paraId="46F4B3ED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701" w:type="dxa"/>
            <w:shd w:val="clear" w:color="000000" w:fill="FFFF00"/>
            <w:vAlign w:val="bottom"/>
            <w:hideMark/>
          </w:tcPr>
          <w:p w14:paraId="34A75E58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276" w:type="dxa"/>
            <w:shd w:val="clear" w:color="000000" w:fill="FFFF00"/>
            <w:vAlign w:val="bottom"/>
            <w:hideMark/>
          </w:tcPr>
          <w:p w14:paraId="13DB283E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9A396EF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280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14:paraId="73E22271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16%</w:t>
            </w:r>
          </w:p>
        </w:tc>
      </w:tr>
      <w:tr w:rsidR="00D336B0" w:rsidRPr="00A22D52" w14:paraId="7B3334C7" w14:textId="77777777" w:rsidTr="00FA4750">
        <w:trPr>
          <w:trHeight w:val="315"/>
        </w:trPr>
        <w:tc>
          <w:tcPr>
            <w:tcW w:w="5382" w:type="dxa"/>
            <w:shd w:val="clear" w:color="auto" w:fill="auto"/>
            <w:vAlign w:val="bottom"/>
            <w:hideMark/>
          </w:tcPr>
          <w:p w14:paraId="326DA780" w14:textId="77777777" w:rsidR="00A22D52" w:rsidRPr="00A22D52" w:rsidRDefault="00A22D52" w:rsidP="00A22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Rose Bruford College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3BFB5F6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125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CB47DC0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49115C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52BAB65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5B2BA4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A6066C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5140E3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4%</w:t>
            </w:r>
          </w:p>
        </w:tc>
      </w:tr>
      <w:tr w:rsidR="00D336B0" w:rsidRPr="00A22D52" w14:paraId="2CB70955" w14:textId="77777777" w:rsidTr="00FA4750">
        <w:trPr>
          <w:trHeight w:val="315"/>
        </w:trPr>
        <w:tc>
          <w:tcPr>
            <w:tcW w:w="5382" w:type="dxa"/>
            <w:shd w:val="clear" w:color="auto" w:fill="auto"/>
            <w:vAlign w:val="bottom"/>
            <w:hideMark/>
          </w:tcPr>
          <w:p w14:paraId="767CC135" w14:textId="77777777" w:rsidR="00A22D52" w:rsidRPr="00A22D52" w:rsidRDefault="00A22D52" w:rsidP="00A22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Royal College of Art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B0D0577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D977FC5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0D84BB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A9BD72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58B23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47BDEA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4DB21E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13%</w:t>
            </w:r>
          </w:p>
        </w:tc>
      </w:tr>
      <w:tr w:rsidR="00D336B0" w:rsidRPr="00A22D52" w14:paraId="4B75545E" w14:textId="77777777" w:rsidTr="00FA4750">
        <w:trPr>
          <w:trHeight w:val="337"/>
        </w:trPr>
        <w:tc>
          <w:tcPr>
            <w:tcW w:w="5382" w:type="dxa"/>
            <w:shd w:val="clear" w:color="auto" w:fill="auto"/>
            <w:hideMark/>
          </w:tcPr>
          <w:p w14:paraId="04EDD2F5" w14:textId="77777777" w:rsidR="00A22D52" w:rsidRPr="00A22D52" w:rsidRDefault="00A22D52" w:rsidP="00A22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Trinity Laban Conservatoire of Music and Dance</w:t>
            </w:r>
          </w:p>
        </w:tc>
        <w:tc>
          <w:tcPr>
            <w:tcW w:w="992" w:type="dxa"/>
            <w:shd w:val="clear" w:color="auto" w:fill="auto"/>
            <w:hideMark/>
          </w:tcPr>
          <w:p w14:paraId="32C2A2A6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460</w:t>
            </w:r>
          </w:p>
        </w:tc>
        <w:tc>
          <w:tcPr>
            <w:tcW w:w="992" w:type="dxa"/>
            <w:shd w:val="clear" w:color="auto" w:fill="auto"/>
            <w:hideMark/>
          </w:tcPr>
          <w:p w14:paraId="6FE68322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14:paraId="79419E78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656949D1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1341CA3E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F874E7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A9AD98" w14:textId="77777777" w:rsidR="00A22D52" w:rsidRPr="00A22D52" w:rsidRDefault="00A22D52" w:rsidP="005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7%</w:t>
            </w:r>
          </w:p>
        </w:tc>
      </w:tr>
    </w:tbl>
    <w:p w14:paraId="4738C847" w14:textId="77777777" w:rsidR="00694928" w:rsidRDefault="00694928" w:rsidP="00E96A36">
      <w:pPr>
        <w:rPr>
          <w:rFonts w:ascii="Arial" w:hAnsi="Arial" w:cs="Arial"/>
          <w:b/>
          <w:sz w:val="24"/>
          <w:szCs w:val="24"/>
        </w:rPr>
      </w:pPr>
    </w:p>
    <w:p w14:paraId="11EAA67E" w14:textId="71E8CDB8" w:rsidR="00E96A36" w:rsidRPr="00832C1B" w:rsidRDefault="00694928" w:rsidP="00E96A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E96A36" w:rsidRPr="00832C1B">
        <w:rPr>
          <w:rFonts w:ascii="Arial" w:hAnsi="Arial" w:cs="Arial"/>
          <w:b/>
          <w:sz w:val="24"/>
          <w:szCs w:val="24"/>
        </w:rPr>
        <w:lastRenderedPageBreak/>
        <w:t xml:space="preserve">GENDER </w:t>
      </w:r>
    </w:p>
    <w:p w14:paraId="7201EFD6" w14:textId="7693EF52" w:rsidR="00E96A36" w:rsidRDefault="001159E2" w:rsidP="00E96A36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96A36" w:rsidRPr="003605CE">
        <w:rPr>
          <w:rFonts w:ascii="Arial" w:hAnsi="Arial" w:cs="Arial"/>
        </w:rPr>
        <w:t>he census information for the Royal Borough of Greenwich</w:t>
      </w:r>
      <w:r>
        <w:rPr>
          <w:rFonts w:ascii="Arial" w:hAnsi="Arial" w:cs="Arial"/>
        </w:rPr>
        <w:t xml:space="preserve"> shows that</w:t>
      </w:r>
      <w:r w:rsidR="00B10087">
        <w:rPr>
          <w:rFonts w:ascii="Arial" w:hAnsi="Arial" w:cs="Arial"/>
        </w:rPr>
        <w:t xml:space="preserve"> </w:t>
      </w:r>
      <w:r w:rsidR="00E96A36" w:rsidRPr="003605CE">
        <w:rPr>
          <w:rFonts w:ascii="Arial" w:hAnsi="Arial" w:cs="Arial"/>
        </w:rPr>
        <w:t>the gender split is 49.6% males and 50.4% females</w:t>
      </w:r>
      <w:r w:rsidR="00B10087">
        <w:rPr>
          <w:rFonts w:ascii="Arial" w:hAnsi="Arial" w:cs="Arial"/>
        </w:rPr>
        <w:t>. There is a s</w:t>
      </w:r>
      <w:r w:rsidR="00E96A36" w:rsidRPr="003605CE">
        <w:rPr>
          <w:rFonts w:ascii="Arial" w:hAnsi="Arial" w:cs="Arial"/>
        </w:rPr>
        <w:t>light difference in Ravensbourne’s figures for this year where there are more males</w:t>
      </w:r>
      <w:r w:rsidR="00E96A36">
        <w:rPr>
          <w:rFonts w:ascii="Arial" w:hAnsi="Arial" w:cs="Arial"/>
        </w:rPr>
        <w:t xml:space="preserve"> (53%)</w:t>
      </w:r>
      <w:r w:rsidR="00E96A36" w:rsidRPr="003605CE">
        <w:rPr>
          <w:rFonts w:ascii="Arial" w:hAnsi="Arial" w:cs="Arial"/>
        </w:rPr>
        <w:t xml:space="preserve"> than females</w:t>
      </w:r>
      <w:r w:rsidR="00E96A36">
        <w:rPr>
          <w:rFonts w:ascii="Arial" w:hAnsi="Arial" w:cs="Arial"/>
        </w:rPr>
        <w:t xml:space="preserve"> (47%)</w:t>
      </w:r>
      <w:r w:rsidR="00E96A36" w:rsidRPr="003605CE">
        <w:rPr>
          <w:rFonts w:ascii="Arial" w:hAnsi="Arial" w:cs="Arial"/>
        </w:rPr>
        <w:t xml:space="preserve"> employed. </w:t>
      </w:r>
    </w:p>
    <w:p w14:paraId="4F5ACA32" w14:textId="582AFE80" w:rsidR="00FC771C" w:rsidRDefault="00FC771C" w:rsidP="00E96A36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Ravensbourne has a slightly lower number of females compared to other comparable </w:t>
      </w:r>
      <w:r w:rsidR="001159E2">
        <w:rPr>
          <w:rFonts w:ascii="Arial" w:hAnsi="Arial" w:cs="Arial"/>
        </w:rPr>
        <w:t>i</w:t>
      </w:r>
      <w:r>
        <w:rPr>
          <w:rFonts w:ascii="Arial" w:hAnsi="Arial" w:cs="Arial"/>
        </w:rPr>
        <w:t>nstitutions</w:t>
      </w:r>
      <w:r w:rsidR="001159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which is an area we will look at in particular in the area of </w:t>
      </w:r>
      <w:r w:rsidR="001159E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cademia. </w:t>
      </w:r>
    </w:p>
    <w:p w14:paraId="690BB7E7" w14:textId="77777777" w:rsidR="008D5884" w:rsidRPr="00514177" w:rsidRDefault="008D5884" w:rsidP="008D58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E83FC0" w14:textId="77777777" w:rsidR="00E96A36" w:rsidRPr="00514177" w:rsidRDefault="00E96A36" w:rsidP="00E96A36">
      <w:pPr>
        <w:rPr>
          <w:rFonts w:ascii="Arial" w:hAnsi="Arial" w:cs="Arial"/>
          <w:sz w:val="24"/>
          <w:szCs w:val="24"/>
        </w:rPr>
      </w:pPr>
    </w:p>
    <w:tbl>
      <w:tblPr>
        <w:tblW w:w="12827" w:type="dxa"/>
        <w:tblLook w:val="04A0" w:firstRow="1" w:lastRow="0" w:firstColumn="1" w:lastColumn="0" w:noHBand="0" w:noVBand="1"/>
      </w:tblPr>
      <w:tblGrid>
        <w:gridCol w:w="4957"/>
        <w:gridCol w:w="1178"/>
        <w:gridCol w:w="1320"/>
        <w:gridCol w:w="1320"/>
        <w:gridCol w:w="1320"/>
        <w:gridCol w:w="1412"/>
        <w:gridCol w:w="1320"/>
      </w:tblGrid>
      <w:tr w:rsidR="003A1679" w:rsidRPr="00A22D52" w14:paraId="299D0342" w14:textId="77777777" w:rsidTr="00D336B0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14:paraId="7CDD65B4" w14:textId="4D39031B" w:rsidR="003A1679" w:rsidRPr="00A22D52" w:rsidRDefault="003A1679" w:rsidP="003A1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14:paraId="3F15C5A0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Female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14B614B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Male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3E04FBE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F5FE92A" w14:textId="5D014A56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2D80D27E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Female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217E445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Male</w:t>
            </w:r>
          </w:p>
        </w:tc>
      </w:tr>
      <w:tr w:rsidR="003A1679" w:rsidRPr="00514177" w14:paraId="57AAA2D5" w14:textId="77777777" w:rsidTr="00D336B0">
        <w:trPr>
          <w:trHeight w:val="315"/>
        </w:trPr>
        <w:tc>
          <w:tcPr>
            <w:tcW w:w="4957" w:type="dxa"/>
            <w:shd w:val="clear" w:color="auto" w:fill="auto"/>
            <w:vAlign w:val="bottom"/>
          </w:tcPr>
          <w:p w14:paraId="0C7F4F8B" w14:textId="1F390B30" w:rsidR="003A1679" w:rsidRPr="00536A4E" w:rsidRDefault="003A1679" w:rsidP="003A16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Institution</w:t>
            </w:r>
          </w:p>
        </w:tc>
        <w:tc>
          <w:tcPr>
            <w:tcW w:w="3818" w:type="dxa"/>
            <w:gridSpan w:val="3"/>
            <w:shd w:val="clear" w:color="auto" w:fill="auto"/>
            <w:noWrap/>
            <w:vAlign w:val="bottom"/>
          </w:tcPr>
          <w:p w14:paraId="45E2FD19" w14:textId="52595D92" w:rsidR="003A1679" w:rsidRPr="00514177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Numeric Data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301492C8" w14:textId="77777777" w:rsidR="003A1679" w:rsidRPr="00514177" w:rsidRDefault="003A1679" w:rsidP="003A1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32" w:type="dxa"/>
            <w:gridSpan w:val="2"/>
            <w:shd w:val="clear" w:color="auto" w:fill="auto"/>
            <w:noWrap/>
            <w:vAlign w:val="bottom"/>
          </w:tcPr>
          <w:p w14:paraId="30D0DC92" w14:textId="20158E62" w:rsidR="003A1679" w:rsidRPr="00514177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Percentages</w:t>
            </w:r>
          </w:p>
        </w:tc>
      </w:tr>
      <w:tr w:rsidR="003A1679" w:rsidRPr="00514177" w14:paraId="46439822" w14:textId="77777777" w:rsidTr="00D336B0">
        <w:trPr>
          <w:trHeight w:val="315"/>
        </w:trPr>
        <w:tc>
          <w:tcPr>
            <w:tcW w:w="4957" w:type="dxa"/>
            <w:shd w:val="clear" w:color="auto" w:fill="auto"/>
            <w:vAlign w:val="bottom"/>
          </w:tcPr>
          <w:p w14:paraId="2191E79F" w14:textId="77777777" w:rsidR="003A1679" w:rsidRPr="00514177" w:rsidRDefault="003A1679" w:rsidP="003A1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18" w:type="dxa"/>
            <w:gridSpan w:val="3"/>
            <w:shd w:val="clear" w:color="auto" w:fill="auto"/>
            <w:noWrap/>
            <w:vAlign w:val="bottom"/>
          </w:tcPr>
          <w:p w14:paraId="519507C7" w14:textId="77777777" w:rsidR="003A1679" w:rsidRPr="00514177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5D58376E" w14:textId="77777777" w:rsidR="003A1679" w:rsidRPr="00514177" w:rsidRDefault="003A1679" w:rsidP="003A1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32" w:type="dxa"/>
            <w:gridSpan w:val="2"/>
            <w:shd w:val="clear" w:color="auto" w:fill="auto"/>
            <w:noWrap/>
            <w:vAlign w:val="bottom"/>
          </w:tcPr>
          <w:p w14:paraId="1C536482" w14:textId="77777777" w:rsidR="003A1679" w:rsidRPr="00514177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3A1679" w:rsidRPr="00A22D52" w14:paraId="3868BEDE" w14:textId="77777777" w:rsidTr="00D336B0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14:paraId="0792CCCD" w14:textId="11639292" w:rsidR="003A1679" w:rsidRPr="00A22D52" w:rsidRDefault="003A1679" w:rsidP="003A1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Arts University Bournemouth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74BCAFAB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255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14:paraId="05AC25FD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215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83A1FEB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8E75F60" w14:textId="77777777" w:rsidR="003A1679" w:rsidRPr="00A22D52" w:rsidRDefault="003A1679" w:rsidP="003A1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4F42BA05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54%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DE72AFB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46%</w:t>
            </w:r>
          </w:p>
        </w:tc>
      </w:tr>
      <w:tr w:rsidR="003A1679" w:rsidRPr="00A22D52" w14:paraId="61D689B0" w14:textId="77777777" w:rsidTr="00D336B0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14:paraId="256F22C4" w14:textId="65384FC0" w:rsidR="003A1679" w:rsidRPr="00A22D52" w:rsidRDefault="003A1679" w:rsidP="003A1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The Royal </w:t>
            </w: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Central School of Speech and Drama</w:t>
            </w:r>
          </w:p>
        </w:tc>
        <w:tc>
          <w:tcPr>
            <w:tcW w:w="1178" w:type="dxa"/>
            <w:shd w:val="clear" w:color="auto" w:fill="auto"/>
            <w:hideMark/>
          </w:tcPr>
          <w:p w14:paraId="09F7F889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95</w:t>
            </w:r>
          </w:p>
        </w:tc>
        <w:tc>
          <w:tcPr>
            <w:tcW w:w="1320" w:type="dxa"/>
            <w:shd w:val="clear" w:color="auto" w:fill="auto"/>
            <w:hideMark/>
          </w:tcPr>
          <w:p w14:paraId="09066562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556C0A43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165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2CD285E1" w14:textId="77777777" w:rsidR="003A1679" w:rsidRPr="00A22D52" w:rsidRDefault="003A1679" w:rsidP="003A1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2366E4E7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58%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3D68356E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42%</w:t>
            </w:r>
          </w:p>
        </w:tc>
      </w:tr>
      <w:tr w:rsidR="003A1679" w:rsidRPr="00A22D52" w14:paraId="09E767E4" w14:textId="77777777" w:rsidTr="00D336B0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14:paraId="7E6CFEC6" w14:textId="77777777" w:rsidR="003A1679" w:rsidRPr="00A22D52" w:rsidRDefault="003A1679" w:rsidP="003A1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Kingston University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0AFA8246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1,110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14:paraId="47646D3A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830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2BF33F1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C3897A4" w14:textId="77777777" w:rsidR="003A1679" w:rsidRPr="00A22D52" w:rsidRDefault="003A1679" w:rsidP="003A1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121E486C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57%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ECD028B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43%</w:t>
            </w:r>
          </w:p>
        </w:tc>
      </w:tr>
      <w:tr w:rsidR="003A1679" w:rsidRPr="00A22D52" w14:paraId="751AA2D1" w14:textId="77777777" w:rsidTr="00D336B0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14:paraId="0D893DB2" w14:textId="77777777" w:rsidR="003A1679" w:rsidRPr="00A22D52" w:rsidRDefault="003A1679" w:rsidP="003A1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Leeds Trinity University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444D9410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270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14:paraId="6F360AB1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7452330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26397B9" w14:textId="77777777" w:rsidR="003A1679" w:rsidRPr="00A22D52" w:rsidRDefault="003A1679" w:rsidP="003A1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41C038EC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64%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6548FBB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36%</w:t>
            </w:r>
          </w:p>
        </w:tc>
      </w:tr>
      <w:tr w:rsidR="003A1679" w:rsidRPr="00A22D52" w14:paraId="72FEF8F0" w14:textId="77777777" w:rsidTr="00D336B0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14:paraId="19E51A5F" w14:textId="33FA9F0A" w:rsidR="003A1679" w:rsidRPr="00A22D52" w:rsidRDefault="003A1679" w:rsidP="003A1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University of the Arts London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56CD4770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1,900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14:paraId="1C3A73F9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1,485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97FDA99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3385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8F1C978" w14:textId="77777777" w:rsidR="003A1679" w:rsidRPr="00A22D52" w:rsidRDefault="003A1679" w:rsidP="003A1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3ECAC8AD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56%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48164A6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44%</w:t>
            </w:r>
          </w:p>
        </w:tc>
      </w:tr>
      <w:tr w:rsidR="003A1679" w:rsidRPr="00A22D52" w14:paraId="607F96DD" w14:textId="77777777" w:rsidTr="00D336B0">
        <w:trPr>
          <w:trHeight w:val="315"/>
        </w:trPr>
        <w:tc>
          <w:tcPr>
            <w:tcW w:w="4957" w:type="dxa"/>
            <w:shd w:val="clear" w:color="000000" w:fill="FFFF00"/>
            <w:vAlign w:val="bottom"/>
            <w:hideMark/>
          </w:tcPr>
          <w:p w14:paraId="3AA0F7B7" w14:textId="77777777" w:rsidR="003A1679" w:rsidRPr="00A22D52" w:rsidRDefault="003A1679" w:rsidP="003A1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Ravensbourne</w:t>
            </w:r>
          </w:p>
        </w:tc>
        <w:tc>
          <w:tcPr>
            <w:tcW w:w="1178" w:type="dxa"/>
            <w:shd w:val="clear" w:color="000000" w:fill="FFFF00"/>
            <w:vAlign w:val="bottom"/>
            <w:hideMark/>
          </w:tcPr>
          <w:p w14:paraId="175AA0D0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1320" w:type="dxa"/>
            <w:shd w:val="clear" w:color="000000" w:fill="FFFF00"/>
            <w:vAlign w:val="bottom"/>
            <w:hideMark/>
          </w:tcPr>
          <w:p w14:paraId="0AD81260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160</w:t>
            </w:r>
          </w:p>
        </w:tc>
        <w:tc>
          <w:tcPr>
            <w:tcW w:w="1320" w:type="dxa"/>
            <w:shd w:val="clear" w:color="000000" w:fill="FFFF00"/>
            <w:noWrap/>
            <w:vAlign w:val="bottom"/>
            <w:hideMark/>
          </w:tcPr>
          <w:p w14:paraId="1E4592F1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280</w:t>
            </w:r>
          </w:p>
        </w:tc>
        <w:tc>
          <w:tcPr>
            <w:tcW w:w="1320" w:type="dxa"/>
            <w:shd w:val="clear" w:color="000000" w:fill="FFFF00"/>
            <w:noWrap/>
            <w:vAlign w:val="bottom"/>
            <w:hideMark/>
          </w:tcPr>
          <w:p w14:paraId="6E22E584" w14:textId="77777777" w:rsidR="003A1679" w:rsidRPr="00A22D52" w:rsidRDefault="003A1679" w:rsidP="003A1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2" w:type="dxa"/>
            <w:shd w:val="clear" w:color="000000" w:fill="FFFF00"/>
            <w:noWrap/>
            <w:vAlign w:val="bottom"/>
            <w:hideMark/>
          </w:tcPr>
          <w:p w14:paraId="4BCBDB1C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43%</w:t>
            </w:r>
          </w:p>
        </w:tc>
        <w:tc>
          <w:tcPr>
            <w:tcW w:w="1320" w:type="dxa"/>
            <w:shd w:val="clear" w:color="000000" w:fill="FFFF00"/>
            <w:noWrap/>
            <w:vAlign w:val="bottom"/>
            <w:hideMark/>
          </w:tcPr>
          <w:p w14:paraId="66A19936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57%</w:t>
            </w:r>
          </w:p>
        </w:tc>
      </w:tr>
      <w:tr w:rsidR="003A1679" w:rsidRPr="00A22D52" w14:paraId="6A490EA8" w14:textId="77777777" w:rsidTr="00D336B0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14:paraId="19CB8BDB" w14:textId="77777777" w:rsidR="003A1679" w:rsidRPr="00A22D52" w:rsidRDefault="003A1679" w:rsidP="003A1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Rose Bruford College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7A6DE04A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14:paraId="64426507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22A97FB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7155B3E" w14:textId="77777777" w:rsidR="003A1679" w:rsidRPr="00A22D52" w:rsidRDefault="003A1679" w:rsidP="003A1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295A11F2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58%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F6F4222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42%</w:t>
            </w:r>
          </w:p>
        </w:tc>
      </w:tr>
      <w:tr w:rsidR="003A1679" w:rsidRPr="00A22D52" w14:paraId="638E13BC" w14:textId="77777777" w:rsidTr="00D336B0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14:paraId="0FC42A10" w14:textId="77777777" w:rsidR="003A1679" w:rsidRPr="00A22D52" w:rsidRDefault="003A1679" w:rsidP="003A1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Royal College of Art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35E9A7B9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14:paraId="5FD427B7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205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9048A91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405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E44DCE0" w14:textId="77777777" w:rsidR="003A1679" w:rsidRPr="00A22D52" w:rsidRDefault="003A1679" w:rsidP="003A1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62DA7569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49%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1D716AE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51%</w:t>
            </w:r>
          </w:p>
        </w:tc>
      </w:tr>
      <w:tr w:rsidR="003A1679" w:rsidRPr="00A22D52" w14:paraId="72C6278C" w14:textId="77777777" w:rsidTr="00D336B0">
        <w:trPr>
          <w:trHeight w:val="630"/>
        </w:trPr>
        <w:tc>
          <w:tcPr>
            <w:tcW w:w="4957" w:type="dxa"/>
            <w:shd w:val="clear" w:color="auto" w:fill="auto"/>
            <w:hideMark/>
          </w:tcPr>
          <w:p w14:paraId="5C97FD52" w14:textId="77777777" w:rsidR="003A1679" w:rsidRPr="00A22D52" w:rsidRDefault="003A1679" w:rsidP="003A1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Trinity Laban Conservatoire of Music and Dance</w:t>
            </w:r>
          </w:p>
        </w:tc>
        <w:tc>
          <w:tcPr>
            <w:tcW w:w="1178" w:type="dxa"/>
            <w:shd w:val="clear" w:color="auto" w:fill="auto"/>
            <w:hideMark/>
          </w:tcPr>
          <w:p w14:paraId="5AB6ECBC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245</w:t>
            </w:r>
          </w:p>
        </w:tc>
        <w:tc>
          <w:tcPr>
            <w:tcW w:w="1320" w:type="dxa"/>
            <w:shd w:val="clear" w:color="auto" w:fill="auto"/>
            <w:hideMark/>
          </w:tcPr>
          <w:p w14:paraId="36A4E115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255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6E5BB4F9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4F3AA633" w14:textId="77777777" w:rsidR="003A1679" w:rsidRPr="00A22D52" w:rsidRDefault="003A1679" w:rsidP="003A1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1806C22E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49%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56541568" w14:textId="77777777" w:rsidR="003A1679" w:rsidRPr="00A22D52" w:rsidRDefault="003A1679" w:rsidP="003A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22D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51%</w:t>
            </w:r>
          </w:p>
        </w:tc>
      </w:tr>
    </w:tbl>
    <w:p w14:paraId="5E7DA803" w14:textId="392355FB" w:rsidR="00E96A36" w:rsidRDefault="00E96A36"/>
    <w:sectPr w:rsidR="00E96A36" w:rsidSect="00C42044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800D2"/>
    <w:multiLevelType w:val="hybridMultilevel"/>
    <w:tmpl w:val="3B2EDE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E449A"/>
    <w:multiLevelType w:val="hybridMultilevel"/>
    <w:tmpl w:val="1AF0CA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61083"/>
    <w:multiLevelType w:val="hybridMultilevel"/>
    <w:tmpl w:val="FD7AFD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D5"/>
    <w:rsid w:val="00026485"/>
    <w:rsid w:val="000554ED"/>
    <w:rsid w:val="000A5B57"/>
    <w:rsid w:val="000A7F69"/>
    <w:rsid w:val="000E29EB"/>
    <w:rsid w:val="001159E2"/>
    <w:rsid w:val="00177C2C"/>
    <w:rsid w:val="00233485"/>
    <w:rsid w:val="00276DFC"/>
    <w:rsid w:val="002E21AA"/>
    <w:rsid w:val="003117D9"/>
    <w:rsid w:val="00337D53"/>
    <w:rsid w:val="003A1679"/>
    <w:rsid w:val="00514177"/>
    <w:rsid w:val="00536A4E"/>
    <w:rsid w:val="00584841"/>
    <w:rsid w:val="0064717D"/>
    <w:rsid w:val="00694928"/>
    <w:rsid w:val="006A46CD"/>
    <w:rsid w:val="006D4A18"/>
    <w:rsid w:val="006F174B"/>
    <w:rsid w:val="00732FE1"/>
    <w:rsid w:val="007C243C"/>
    <w:rsid w:val="00800CDE"/>
    <w:rsid w:val="0081730D"/>
    <w:rsid w:val="008228F9"/>
    <w:rsid w:val="00824825"/>
    <w:rsid w:val="00832C1B"/>
    <w:rsid w:val="008C27E2"/>
    <w:rsid w:val="008D5884"/>
    <w:rsid w:val="00983AC4"/>
    <w:rsid w:val="00A22D52"/>
    <w:rsid w:val="00A4443D"/>
    <w:rsid w:val="00A64575"/>
    <w:rsid w:val="00A736F2"/>
    <w:rsid w:val="00A876FF"/>
    <w:rsid w:val="00A95572"/>
    <w:rsid w:val="00AA4DEF"/>
    <w:rsid w:val="00B04D9E"/>
    <w:rsid w:val="00B10087"/>
    <w:rsid w:val="00B16419"/>
    <w:rsid w:val="00BB3721"/>
    <w:rsid w:val="00BD5F8B"/>
    <w:rsid w:val="00C23B8C"/>
    <w:rsid w:val="00C41BDE"/>
    <w:rsid w:val="00C42044"/>
    <w:rsid w:val="00C6586D"/>
    <w:rsid w:val="00C80BCB"/>
    <w:rsid w:val="00C92E3D"/>
    <w:rsid w:val="00CA53C5"/>
    <w:rsid w:val="00CB069C"/>
    <w:rsid w:val="00D228BF"/>
    <w:rsid w:val="00D336B0"/>
    <w:rsid w:val="00D9119C"/>
    <w:rsid w:val="00D95FFB"/>
    <w:rsid w:val="00DC110C"/>
    <w:rsid w:val="00E00A54"/>
    <w:rsid w:val="00E11D47"/>
    <w:rsid w:val="00E308D5"/>
    <w:rsid w:val="00E64C77"/>
    <w:rsid w:val="00E76791"/>
    <w:rsid w:val="00E96A36"/>
    <w:rsid w:val="00EC4918"/>
    <w:rsid w:val="00EE4885"/>
    <w:rsid w:val="00F05504"/>
    <w:rsid w:val="00F17161"/>
    <w:rsid w:val="00F87F5E"/>
    <w:rsid w:val="00FA4750"/>
    <w:rsid w:val="00FB4C93"/>
    <w:rsid w:val="00FC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CB70"/>
  <w15:docId w15:val="{C90B6F4C-9974-4196-884D-75A37620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A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57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32FE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2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F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 Alexandra</dc:creator>
  <cp:keywords/>
  <dc:description/>
  <cp:lastModifiedBy>Kathy Steele</cp:lastModifiedBy>
  <cp:revision>2</cp:revision>
  <cp:lastPrinted>2015-01-26T11:07:00Z</cp:lastPrinted>
  <dcterms:created xsi:type="dcterms:W3CDTF">2016-10-14T07:04:00Z</dcterms:created>
  <dcterms:modified xsi:type="dcterms:W3CDTF">2016-10-14T07:04:00Z</dcterms:modified>
</cp:coreProperties>
</file>